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CD8B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4E2144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285F0A64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611E6C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1248E72A" w14:textId="77777777" w:rsidTr="00B46B45">
        <w:trPr>
          <w:trHeight w:val="1151"/>
        </w:trPr>
        <w:tc>
          <w:tcPr>
            <w:tcW w:w="4679" w:type="dxa"/>
            <w:gridSpan w:val="2"/>
          </w:tcPr>
          <w:p w14:paraId="672BCFDB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16D1E106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0CB25C34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3187F322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47873AB0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29E35BE3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5BD71D7F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11D8E59E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48ED8A15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03C77887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6693711E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1677FE3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AA20833" w14:textId="43E8A708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4F5CA6D0" w14:textId="77777777" w:rsidR="001858CA" w:rsidRDefault="001858CA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id w:val="1087929766"/>
              <w:placeholder>
                <w:docPart w:val="DefaultPlaceholder_22675703"/>
              </w:placeholder>
              <w:text/>
            </w:sdtPr>
            <w:sdtEndPr/>
            <w:sdtContent>
              <w:p w14:paraId="7521531B" w14:textId="64AAD93F" w:rsidR="00B44A87" w:rsidRPr="00042CBD" w:rsidRDefault="00042CBD" w:rsidP="002B3339">
                <w:pPr>
                  <w:keepLines/>
                  <w:jc w:val="both"/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</w:pPr>
                <w:r w:rsidRPr="00042CBD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  <w:t>Central Asia Beauty Expo 2022 – международная выставка к</w:t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  <w:t>расоты и косметики в г. Алматы (Казахстан) с 11.05.2022 по 13.05.2022</w:t>
                </w:r>
              </w:p>
            </w:sdtContent>
          </w:sdt>
          <w:p w14:paraId="1A7E370F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2F83D8" wp14:editId="48E1DD3F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подбор международного отраслевого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участия Субъекта МСП;</w:t>
            </w:r>
          </w:p>
          <w:p w14:paraId="771304DA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F18352" wp14:editId="1B479491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2FAE0732" w14:textId="77777777" w:rsidR="00D050E4" w:rsidRPr="00D050E4" w:rsidRDefault="00042CB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241B45DC">
                <v:rect id="_x0000_s1073" style="position:absolute;left:0;text-align:left;margin-left:3.8pt;margin-top:.9pt;width:13.15pt;height:10.65pt;z-index:251709440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4256E780" w14:textId="77777777" w:rsidR="00D050E4" w:rsidRPr="00D050E4" w:rsidRDefault="00042CBD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4553D1D4">
                <v:rect id="_x0000_s1074" style="position:absolute;left:0;text-align:left;margin-left:4.6pt;margin-top:-.7pt;width:13.15pt;height:10.65pt;z-index:251710464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1AFBE747" w14:textId="77777777" w:rsidR="00D050E4" w:rsidRPr="00D050E4" w:rsidRDefault="00042CB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3BA581BD">
                <v:rect id="_x0000_s1075" style="position:absolute;left:0;text-align:left;margin-left:4.15pt;margin-top:.35pt;width:13.15pt;height:10.65pt;z-index:251711488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4CE45719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6F13B0" wp14:editId="5B533395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6EEE3EC8" w14:textId="77777777" w:rsidR="00D050E4" w:rsidRPr="00D050E4" w:rsidRDefault="00042CB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21EEC382">
                <v:rect id="_x0000_s1066" style="position:absolute;left:0;text-align:left;margin-left:4.1pt;margin-top:.3pt;width:13.15pt;height:10.65pt;z-index:251702272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44EB83A7" w14:textId="77777777" w:rsidR="00D050E4" w:rsidRPr="00D050E4" w:rsidRDefault="00042CBD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5FCF06AD">
                <v:rect id="_x0000_s1067" style="position:absolute;left:0;text-align:left;margin-left:4.8pt;margin-top:.85pt;width:13.15pt;height:10.65pt;z-index:25170329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1A268765" w14:textId="77777777" w:rsidR="00D050E4" w:rsidRPr="00D050E4" w:rsidRDefault="00042CBD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243FFA62">
                <v:rect id="_x0000_s1068" style="position:absolute;left:0;text-align:left;margin-left:4.3pt;margin-top:2pt;width:13.15pt;height:10.65pt;z-index:251704320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5324EC7B" w14:textId="77777777" w:rsidR="00D050E4" w:rsidRPr="00D050E4" w:rsidRDefault="00042CBD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45754BC8">
                <v:rect id="_x0000_s1069" style="position:absolute;left:0;text-align:left;margin-left:4.1pt;margin-top:.35pt;width:13.15pt;height:10.65pt;z-index:251705344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4A910CC4" w14:textId="77777777" w:rsidR="00D050E4" w:rsidRPr="00D050E4" w:rsidRDefault="00042CBD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3FE90AC1">
                <v:rect id="_x0000_s1070" style="position:absolute;left:0;text-align:left;margin-left:4.6pt;margin-top:-.3pt;width:13.15pt;height:10.65pt;z-index:251706368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39A38C20" w14:textId="77777777" w:rsidR="00D050E4" w:rsidRPr="00D050E4" w:rsidRDefault="00042CBD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6A4E5272">
                <v:rect id="_x0000_s1072" style="position:absolute;left:0;text-align:left;margin-left:4.6pt;margin-top:-.75pt;width:13.15pt;height:10.65pt;z-index:25170841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5243880F" w14:textId="77777777" w:rsidR="00D93C4E" w:rsidRPr="00D050E4" w:rsidRDefault="00042CBD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59BDD26E">
                <v:rect id="_x0000_s1071" style="position:absolute;left:0;text-align:left;margin-left:5.1pt;margin-top:-.1pt;width:13.15pt;height:10.65pt;z-index:251707392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4C31EA52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166774B0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9F44CC5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0650F668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31F733F1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3906A75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1785F257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6B099679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E7D9D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784D280C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08AEA237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E91CAB5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2A1A5A78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500D89D4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326D7ADC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D0F1287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36469F42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Банк</w:t>
            </w:r>
          </w:p>
          <w:p w14:paraId="4E587520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329237C6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2E727708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292C4770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430652C3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64A1ED29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14346F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045CD961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22BD679C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573C8FEE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96A8982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172A1739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44C994C3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75E0BDE7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790C1E39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0F0758E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03DAA461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59CB955F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49E24E9D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09EEB514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25A58427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1129C05D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722E491B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74B78AB7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40517CB3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E59AED7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9C56164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7435F63E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5349C36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718865ED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3195452C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68B855F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2ADC530E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18BB1BD4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5D2748B0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71C7C60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52A1C79D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B144E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63F6D478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0F41DB29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6C816605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B33BB83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4AAD676E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7965D4CD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2373B7B7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95BAD9D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203A79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18701704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505C551D" w14:textId="77777777" w:rsidTr="007A483B">
        <w:tc>
          <w:tcPr>
            <w:tcW w:w="234" w:type="dxa"/>
            <w:hideMark/>
          </w:tcPr>
          <w:p w14:paraId="1F2FACE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0307DE9A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FF3698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82420A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D04C75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B60EC7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71ECBBA4" w14:textId="77777777" w:rsidTr="007A483B">
        <w:tc>
          <w:tcPr>
            <w:tcW w:w="234" w:type="dxa"/>
            <w:hideMark/>
          </w:tcPr>
          <w:p w14:paraId="013A2942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2F4D75C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9AC6B5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69E23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BB8A3E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6575C3F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5661EB4E" w14:textId="77777777" w:rsidTr="007A483B">
        <w:tc>
          <w:tcPr>
            <w:tcW w:w="234" w:type="dxa"/>
            <w:hideMark/>
          </w:tcPr>
          <w:p w14:paraId="21E770A6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46D963B3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1CD2AA3D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8D9A254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303544E3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06A0802D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5BC55C67" w14:textId="77777777" w:rsidTr="007A483B">
        <w:tc>
          <w:tcPr>
            <w:tcW w:w="234" w:type="dxa"/>
            <w:hideMark/>
          </w:tcPr>
          <w:p w14:paraId="058CE894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09C3360F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20FD8B15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9CD6FDC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9490C7D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270C86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3D76C9B7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25335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07100"/>
    <w:rsid w:val="00042CBD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858CA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679F92D"/>
  <w15:docId w15:val="{AF304079-4AA3-4715-B26B-454268F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17658F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A1"/>
    <w:rsid w:val="0017658F"/>
    <w:rsid w:val="003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2</cp:revision>
  <cp:lastPrinted>2021-06-03T09:01:00Z</cp:lastPrinted>
  <dcterms:created xsi:type="dcterms:W3CDTF">2022-01-28T11:49:00Z</dcterms:created>
  <dcterms:modified xsi:type="dcterms:W3CDTF">2022-01-28T11:49:00Z</dcterms:modified>
</cp:coreProperties>
</file>